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3A" w:rsidRPr="005F333A" w:rsidRDefault="005F333A">
      <w:pPr>
        <w:rPr>
          <w:b/>
          <w:sz w:val="28"/>
          <w:szCs w:val="28"/>
          <w:lang w:val="kk-KZ"/>
        </w:rPr>
      </w:pPr>
      <w:r w:rsidRPr="005F333A">
        <w:rPr>
          <w:b/>
          <w:sz w:val="28"/>
          <w:szCs w:val="28"/>
          <w:lang w:val="kk-KZ"/>
        </w:rPr>
        <w:t>9. Лекция</w:t>
      </w:r>
    </w:p>
    <w:p w:rsidR="005F333A" w:rsidRDefault="005F333A">
      <w:pPr>
        <w:rPr>
          <w:b/>
          <w:sz w:val="28"/>
          <w:szCs w:val="28"/>
          <w:lang w:val="kk-KZ"/>
        </w:rPr>
      </w:pPr>
    </w:p>
    <w:p w:rsidR="00B206C6" w:rsidRDefault="005F333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  <w:r w:rsidRPr="005F333A">
        <w:rPr>
          <w:b/>
          <w:sz w:val="28"/>
          <w:szCs w:val="28"/>
          <w:lang w:val="kk-KZ"/>
        </w:rPr>
        <w:t xml:space="preserve"> Сендіру, </w:t>
      </w:r>
      <w:r>
        <w:rPr>
          <w:b/>
          <w:sz w:val="28"/>
          <w:szCs w:val="28"/>
          <w:lang w:val="kk-KZ"/>
        </w:rPr>
        <w:t>ықпал ету және айла-шарғы жасау</w:t>
      </w:r>
    </w:p>
    <w:p w:rsidR="005F333A" w:rsidRDefault="005F333A">
      <w:pPr>
        <w:rPr>
          <w:b/>
          <w:sz w:val="28"/>
          <w:szCs w:val="28"/>
          <w:lang w:val="kk-KZ"/>
        </w:rPr>
      </w:pPr>
    </w:p>
    <w:p w:rsidR="005F333A" w:rsidRDefault="005F333A">
      <w:pPr>
        <w:rPr>
          <w:b/>
          <w:sz w:val="28"/>
          <w:szCs w:val="28"/>
          <w:lang w:val="kk-KZ"/>
        </w:rPr>
      </w:pPr>
    </w:p>
    <w:p w:rsidR="005F333A" w:rsidRPr="005F333A" w:rsidRDefault="005F333A" w:rsidP="005F333A">
      <w:p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 </w:t>
      </w:r>
      <w:r w:rsidRPr="005F333A">
        <w:rPr>
          <w:sz w:val="28"/>
          <w:szCs w:val="28"/>
          <w:lang w:val="kk-KZ"/>
        </w:rPr>
        <w:t>Сендіру, ықпал ету және айла-шарғы жасау. Бұқаралық ақпарат құралдарындағы манипуляциялық стратегиялар және оларды тануға арналған маркерлер. Ақпараттандыру, әсер ету, сендіру және манипуляция: ұғымдарды ажырату. Медиа дискурстағы ақпараттық стратегия. Сөйлеу манипуляциясы туралы түсінік. Сөйлеу манипуляциясының техникасы және оны тану жолдары. БАҚ дискурсындағы сендіру. Сендіру қарым-қатынас ережелері. Журналистік тәжірибеден мысалдарды талдау.</w:t>
      </w:r>
    </w:p>
    <w:p w:rsidR="005F333A" w:rsidRPr="005F333A" w:rsidRDefault="005F333A">
      <w:pPr>
        <w:rPr>
          <w:b/>
          <w:sz w:val="28"/>
          <w:szCs w:val="28"/>
          <w:lang w:val="kk-KZ"/>
        </w:rPr>
      </w:pPr>
    </w:p>
    <w:sectPr w:rsidR="005F333A" w:rsidRPr="005F333A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333A"/>
    <w:rsid w:val="005F333A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2025-11-06T19:13:00Z</dcterms:created>
  <dcterms:modified xsi:type="dcterms:W3CDTF">2025-11-06T19:17:00Z</dcterms:modified>
</cp:coreProperties>
</file>